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DFA7" w14:textId="77777777" w:rsidR="005D5309" w:rsidRDefault="005D5309">
      <w:pPr>
        <w:rPr>
          <w:b/>
        </w:rPr>
      </w:pPr>
    </w:p>
    <w:p w14:paraId="5FA8E3F4" w14:textId="77777777" w:rsidR="005D5309" w:rsidRDefault="007E5169">
      <w:pPr>
        <w:rPr>
          <w:b/>
        </w:rPr>
      </w:pPr>
      <w:r>
        <w:rPr>
          <w:b/>
          <w:noProof/>
        </w:rPr>
        <w:drawing>
          <wp:anchor distT="0" distB="0" distL="114300" distR="114300" simplePos="0" relativeHeight="251658240" behindDoc="0" locked="0" layoutInCell="1" hidden="0" allowOverlap="1" wp14:anchorId="5BA805A7" wp14:editId="57EDC822">
            <wp:simplePos x="0" y="0"/>
            <wp:positionH relativeFrom="margin">
              <wp:posOffset>4604753</wp:posOffset>
            </wp:positionH>
            <wp:positionV relativeFrom="margin">
              <wp:posOffset>223620</wp:posOffset>
            </wp:positionV>
            <wp:extent cx="1280160" cy="1280160"/>
            <wp:effectExtent l="0" t="0" r="0" b="0"/>
            <wp:wrapSquare wrapText="bothSides" distT="0" distB="0" distL="114300" distR="114300"/>
            <wp:docPr id="410777437"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6"/>
                    <a:srcRect/>
                    <a:stretch>
                      <a:fillRect/>
                    </a:stretch>
                  </pic:blipFill>
                  <pic:spPr>
                    <a:xfrm>
                      <a:off x="0" y="0"/>
                      <a:ext cx="1280160" cy="1280160"/>
                    </a:xfrm>
                    <a:prstGeom prst="rect">
                      <a:avLst/>
                    </a:prstGeom>
                    <a:ln/>
                  </pic:spPr>
                </pic:pic>
              </a:graphicData>
            </a:graphic>
          </wp:anchor>
        </w:drawing>
      </w:r>
      <w:r>
        <w:rPr>
          <w:b/>
          <w:noProof/>
        </w:rPr>
        <w:drawing>
          <wp:inline distT="0" distB="0" distL="0" distR="0" wp14:anchorId="5823B2D7" wp14:editId="6C90D0EC">
            <wp:extent cx="1371600" cy="1362456"/>
            <wp:effectExtent l="0" t="0" r="0" b="0"/>
            <wp:docPr id="410777438" name="image2.png" descr="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Engineering drawing&#10;&#10;Description automatically generated"/>
                    <pic:cNvPicPr preferRelativeResize="0"/>
                  </pic:nvPicPr>
                  <pic:blipFill>
                    <a:blip r:embed="rId7"/>
                    <a:srcRect/>
                    <a:stretch>
                      <a:fillRect/>
                    </a:stretch>
                  </pic:blipFill>
                  <pic:spPr>
                    <a:xfrm>
                      <a:off x="0" y="0"/>
                      <a:ext cx="1371600" cy="1362456"/>
                    </a:xfrm>
                    <a:prstGeom prst="rect">
                      <a:avLst/>
                    </a:prstGeom>
                    <a:ln/>
                  </pic:spPr>
                </pic:pic>
              </a:graphicData>
            </a:graphic>
          </wp:inline>
        </w:drawing>
      </w:r>
    </w:p>
    <w:p w14:paraId="6D3E031F" w14:textId="77777777" w:rsidR="005D5309" w:rsidRDefault="005D5309">
      <w:pPr>
        <w:rPr>
          <w:b/>
        </w:rPr>
      </w:pPr>
    </w:p>
    <w:p w14:paraId="7F0AA349" w14:textId="77777777" w:rsidR="005D5309" w:rsidRDefault="007E5169">
      <w:pPr>
        <w:jc w:val="center"/>
        <w:rPr>
          <w:b/>
        </w:rPr>
      </w:pPr>
      <w:r>
        <w:rPr>
          <w:b/>
        </w:rPr>
        <w:t>Cannabis Quality Management System Training</w:t>
      </w:r>
    </w:p>
    <w:p w14:paraId="56271E6E" w14:textId="77777777" w:rsidR="005D5309" w:rsidRDefault="007E5169">
      <w:pPr>
        <w:jc w:val="center"/>
        <w:rPr>
          <w:b/>
        </w:rPr>
      </w:pPr>
      <w:r>
        <w:rPr>
          <w:b/>
        </w:rPr>
        <w:t>Complementary Access for Regulators</w:t>
      </w:r>
    </w:p>
    <w:p w14:paraId="35C745FE" w14:textId="77777777" w:rsidR="005D5309" w:rsidRDefault="005D5309">
      <w:pPr>
        <w:rPr>
          <w:sz w:val="21"/>
          <w:szCs w:val="21"/>
        </w:rPr>
      </w:pPr>
    </w:p>
    <w:p w14:paraId="38D4E78F" w14:textId="77777777" w:rsidR="005D5309" w:rsidRDefault="005D5309">
      <w:pPr>
        <w:rPr>
          <w:sz w:val="21"/>
          <w:szCs w:val="21"/>
        </w:rPr>
      </w:pPr>
    </w:p>
    <w:p w14:paraId="5AC41AF6" w14:textId="77777777" w:rsidR="005D5309" w:rsidRDefault="007E5169">
      <w:pPr>
        <w:rPr>
          <w:sz w:val="22"/>
          <w:szCs w:val="22"/>
        </w:rPr>
      </w:pPr>
      <w:r>
        <w:rPr>
          <w:sz w:val="22"/>
          <w:szCs w:val="22"/>
        </w:rPr>
        <w:t xml:space="preserve">FOCUS and AFDO are pleased to offer state and federal regulators complimentary access to the first and only ANAB Accredited Quality Management System Training for Cannabis.  Courses are based upon FOCUS Standards requirements and guidance, in partnership with Cogneti Training. </w:t>
      </w:r>
    </w:p>
    <w:p w14:paraId="304B2A2E" w14:textId="77777777" w:rsidR="005D5309" w:rsidRDefault="005D5309">
      <w:pPr>
        <w:rPr>
          <w:sz w:val="22"/>
          <w:szCs w:val="22"/>
        </w:rPr>
      </w:pPr>
    </w:p>
    <w:p w14:paraId="4E9E063E" w14:textId="77777777" w:rsidR="005D5309" w:rsidRDefault="007E5169">
      <w:pPr>
        <w:numPr>
          <w:ilvl w:val="0"/>
          <w:numId w:val="1"/>
        </w:numPr>
        <w:pBdr>
          <w:top w:val="nil"/>
          <w:left w:val="nil"/>
          <w:bottom w:val="nil"/>
          <w:right w:val="nil"/>
          <w:between w:val="nil"/>
        </w:pBdr>
        <w:rPr>
          <w:color w:val="000000"/>
          <w:sz w:val="22"/>
          <w:szCs w:val="22"/>
        </w:rPr>
      </w:pPr>
      <w:r>
        <w:rPr>
          <w:sz w:val="22"/>
          <w:szCs w:val="22"/>
        </w:rPr>
        <w:t>You can read</w:t>
      </w:r>
      <w:r>
        <w:rPr>
          <w:color w:val="000000"/>
          <w:sz w:val="22"/>
          <w:szCs w:val="22"/>
        </w:rPr>
        <w:t xml:space="preserve"> the official </w:t>
      </w:r>
      <w:hyperlink r:id="rId8" w:anchor="/certificate-program">
        <w:r>
          <w:rPr>
            <w:color w:val="0563C1"/>
            <w:sz w:val="22"/>
            <w:szCs w:val="22"/>
            <w:u w:val="single"/>
          </w:rPr>
          <w:t xml:space="preserve">certificate program document </w:t>
        </w:r>
      </w:hyperlink>
      <w:r>
        <w:rPr>
          <w:color w:val="000000"/>
          <w:sz w:val="22"/>
          <w:szCs w:val="22"/>
        </w:rPr>
        <w:t>as an introduction.</w:t>
      </w:r>
    </w:p>
    <w:p w14:paraId="1F626911" w14:textId="77777777" w:rsidR="005D5309" w:rsidRDefault="007E5169">
      <w:pPr>
        <w:numPr>
          <w:ilvl w:val="0"/>
          <w:numId w:val="1"/>
        </w:numPr>
        <w:pBdr>
          <w:top w:val="nil"/>
          <w:left w:val="nil"/>
          <w:bottom w:val="nil"/>
          <w:right w:val="nil"/>
          <w:between w:val="nil"/>
        </w:pBdr>
        <w:rPr>
          <w:color w:val="000000"/>
          <w:sz w:val="22"/>
          <w:szCs w:val="22"/>
        </w:rPr>
      </w:pPr>
      <w:r>
        <w:rPr>
          <w:color w:val="000000"/>
          <w:sz w:val="22"/>
          <w:szCs w:val="22"/>
        </w:rPr>
        <w:t xml:space="preserve">The program is available as a self-guided </w:t>
      </w:r>
      <w:hyperlink r:id="rId9">
        <w:r>
          <w:rPr>
            <w:color w:val="0563C1"/>
            <w:sz w:val="22"/>
            <w:szCs w:val="22"/>
            <w:u w:val="single"/>
          </w:rPr>
          <w:t>app on the web</w:t>
        </w:r>
      </w:hyperlink>
      <w:r>
        <w:rPr>
          <w:color w:val="000000"/>
          <w:sz w:val="22"/>
          <w:szCs w:val="22"/>
        </w:rPr>
        <w:t xml:space="preserve">, or iOS app store, or Android play store. </w:t>
      </w:r>
    </w:p>
    <w:p w14:paraId="1D658446" w14:textId="77777777" w:rsidR="005D5309" w:rsidRDefault="007E5169">
      <w:pPr>
        <w:numPr>
          <w:ilvl w:val="0"/>
          <w:numId w:val="1"/>
        </w:numPr>
        <w:pBdr>
          <w:top w:val="nil"/>
          <w:left w:val="nil"/>
          <w:bottom w:val="nil"/>
          <w:right w:val="nil"/>
          <w:between w:val="nil"/>
        </w:pBdr>
        <w:rPr>
          <w:color w:val="000000"/>
          <w:sz w:val="22"/>
          <w:szCs w:val="22"/>
        </w:rPr>
      </w:pPr>
      <w:r>
        <w:rPr>
          <w:color w:val="000000"/>
          <w:sz w:val="22"/>
          <w:szCs w:val="22"/>
        </w:rPr>
        <w:t xml:space="preserve">In the program app you’ll first be asked to register. Then you’ll be challenged to pay a license fee. </w:t>
      </w:r>
      <w:r>
        <w:rPr>
          <w:sz w:val="22"/>
          <w:szCs w:val="22"/>
        </w:rPr>
        <w:t>P</w:t>
      </w:r>
      <w:r>
        <w:rPr>
          <w:color w:val="000000"/>
          <w:sz w:val="22"/>
          <w:szCs w:val="22"/>
        </w:rPr>
        <w:t xml:space="preserve">lease reach out to Chris Gray at </w:t>
      </w:r>
      <w:hyperlink r:id="rId10">
        <w:r>
          <w:rPr>
            <w:color w:val="0563C1"/>
            <w:sz w:val="22"/>
            <w:szCs w:val="22"/>
            <w:u w:val="single"/>
          </w:rPr>
          <w:t>cgray@cogneti.com</w:t>
        </w:r>
      </w:hyperlink>
      <w:r>
        <w:rPr>
          <w:sz w:val="22"/>
          <w:szCs w:val="22"/>
        </w:rPr>
        <w:t>. He will provide a custom</w:t>
      </w:r>
      <w:r>
        <w:rPr>
          <w:color w:val="000000"/>
          <w:sz w:val="22"/>
          <w:szCs w:val="22"/>
        </w:rPr>
        <w:t xml:space="preserve"> code for your state </w:t>
      </w:r>
      <w:r>
        <w:rPr>
          <w:sz w:val="22"/>
          <w:szCs w:val="22"/>
        </w:rPr>
        <w:t>that will cover the</w:t>
      </w:r>
      <w:r>
        <w:rPr>
          <w:color w:val="000000"/>
          <w:sz w:val="22"/>
          <w:szCs w:val="22"/>
        </w:rPr>
        <w:t xml:space="preserve"> license fee. </w:t>
      </w:r>
    </w:p>
    <w:p w14:paraId="5A9035C3" w14:textId="77777777" w:rsidR="005D5309" w:rsidRDefault="005D5309">
      <w:pPr>
        <w:pBdr>
          <w:top w:val="nil"/>
          <w:left w:val="nil"/>
          <w:bottom w:val="nil"/>
          <w:right w:val="nil"/>
          <w:between w:val="nil"/>
        </w:pBdr>
        <w:rPr>
          <w:sz w:val="22"/>
          <w:szCs w:val="22"/>
        </w:rPr>
      </w:pPr>
    </w:p>
    <w:p w14:paraId="696B6CDA" w14:textId="77777777" w:rsidR="005D5309" w:rsidRDefault="007E5169">
      <w:pPr>
        <w:pBdr>
          <w:top w:val="nil"/>
          <w:left w:val="nil"/>
          <w:bottom w:val="nil"/>
          <w:right w:val="nil"/>
          <w:between w:val="nil"/>
        </w:pBdr>
        <w:rPr>
          <w:sz w:val="22"/>
          <w:szCs w:val="22"/>
        </w:rPr>
      </w:pPr>
      <w:r>
        <w:rPr>
          <w:sz w:val="22"/>
          <w:szCs w:val="22"/>
        </w:rPr>
        <w:t xml:space="preserve">We hope you find this training valuable and would greatly appreciate any feedback you have. </w:t>
      </w:r>
    </w:p>
    <w:p w14:paraId="593BE06E" w14:textId="77777777" w:rsidR="005D5309" w:rsidRDefault="005D5309">
      <w:pPr>
        <w:rPr>
          <w:sz w:val="22"/>
          <w:szCs w:val="22"/>
        </w:rPr>
      </w:pPr>
    </w:p>
    <w:p w14:paraId="691DB1C0" w14:textId="77777777" w:rsidR="005D5309" w:rsidRDefault="005D5309">
      <w:pPr>
        <w:rPr>
          <w:sz w:val="22"/>
          <w:szCs w:val="22"/>
        </w:rPr>
      </w:pPr>
    </w:p>
    <w:p w14:paraId="33391221" w14:textId="77777777" w:rsidR="005D5309" w:rsidRDefault="005D5309">
      <w:pPr>
        <w:rPr>
          <w:sz w:val="21"/>
          <w:szCs w:val="21"/>
        </w:rPr>
      </w:pPr>
    </w:p>
    <w:p w14:paraId="2F794DBD" w14:textId="77777777" w:rsidR="005D5309" w:rsidRDefault="005D5309">
      <w:pPr>
        <w:jc w:val="center"/>
        <w:rPr>
          <w:sz w:val="21"/>
          <w:szCs w:val="21"/>
        </w:rPr>
      </w:pPr>
    </w:p>
    <w:sectPr w:rsidR="005D5309">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70730"/>
    <w:multiLevelType w:val="multilevel"/>
    <w:tmpl w:val="CB7E1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0196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09"/>
    <w:rsid w:val="005D5309"/>
    <w:rsid w:val="007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B996A"/>
  <w15:docId w15:val="{9E3DA9A4-CF6C-43C8-889D-8BC65DD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E016D"/>
    <w:rPr>
      <w:color w:val="0563C1" w:themeColor="hyperlink"/>
      <w:u w:val="single"/>
    </w:rPr>
  </w:style>
  <w:style w:type="character" w:customStyle="1" w:styleId="UnresolvedMention1">
    <w:name w:val="Unresolved Mention1"/>
    <w:basedOn w:val="DefaultParagraphFont"/>
    <w:uiPriority w:val="99"/>
    <w:semiHidden/>
    <w:unhideWhenUsed/>
    <w:rsid w:val="00CE016D"/>
    <w:rPr>
      <w:color w:val="605E5C"/>
      <w:shd w:val="clear" w:color="auto" w:fill="E1DFDD"/>
    </w:rPr>
  </w:style>
  <w:style w:type="character" w:styleId="FollowedHyperlink">
    <w:name w:val="FollowedHyperlink"/>
    <w:basedOn w:val="DefaultParagraphFont"/>
    <w:uiPriority w:val="99"/>
    <w:semiHidden/>
    <w:unhideWhenUsed/>
    <w:rsid w:val="00D44289"/>
    <w:rPr>
      <w:color w:val="954F72" w:themeColor="followedHyperlink"/>
      <w:u w:val="single"/>
    </w:rPr>
  </w:style>
  <w:style w:type="character" w:styleId="UnresolvedMention">
    <w:name w:val="Unresolved Mention"/>
    <w:basedOn w:val="DefaultParagraphFont"/>
    <w:uiPriority w:val="99"/>
    <w:semiHidden/>
    <w:unhideWhenUsed/>
    <w:rsid w:val="000C226F"/>
    <w:rPr>
      <w:color w:val="605E5C"/>
      <w:shd w:val="clear" w:color="auto" w:fill="E1DFDD"/>
    </w:rPr>
  </w:style>
  <w:style w:type="paragraph" w:styleId="ListParagraph">
    <w:name w:val="List Paragraph"/>
    <w:basedOn w:val="Normal"/>
    <w:uiPriority w:val="34"/>
    <w:qFormat/>
    <w:rsid w:val="000C226F"/>
    <w:pPr>
      <w:ind w:left="720"/>
      <w:contextualSpacing/>
    </w:pPr>
  </w:style>
  <w:style w:type="paragraph" w:styleId="NormalWeb">
    <w:name w:val="Normal (Web)"/>
    <w:basedOn w:val="Normal"/>
    <w:uiPriority w:val="99"/>
    <w:semiHidden/>
    <w:unhideWhenUsed/>
    <w:rsid w:val="000C226F"/>
    <w:pPr>
      <w:spacing w:before="100" w:beforeAutospacing="1" w:after="100" w:afterAutospacing="1"/>
    </w:pPr>
    <w:rPr>
      <w:rFonts w:ascii="Times New Roman" w:eastAsiaTheme="minorEastAsia"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ca.cogneti.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gray@cogneti.com" TargetMode="External"/><Relationship Id="rId4" Type="http://schemas.openxmlformats.org/officeDocument/2006/relationships/settings" Target="settings.xml"/><Relationship Id="rId9" Type="http://schemas.openxmlformats.org/officeDocument/2006/relationships/hyperlink" Target="https://rca.cogne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NMOztXYRKvv9d7poqBPzpBl9A==">CgMxLjA4AHIhMVo2LU00eXZTSnYzVnU4d2dVbXVMVDRwbE5mdDlab3Ax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4</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 Engelking</dc:creator>
  <cp:lastModifiedBy>Steve Moris</cp:lastModifiedBy>
  <cp:revision>2</cp:revision>
  <dcterms:created xsi:type="dcterms:W3CDTF">2023-09-19T19:22:00Z</dcterms:created>
  <dcterms:modified xsi:type="dcterms:W3CDTF">2023-09-19T19:22:00Z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0x0101003A82543BCA0EE54DA7B98531FBADECF5</vt:lpwstr>
  </property>
</Properties>
</file>